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Madrone Mutual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Well 04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Christopher Brooks</w:t>
      </w:r>
      <w:r>
        <w:rPr>
          <w:rFonts w:ascii="Arial" w:cs="Arial" w:hAnsi="Arial"/>
          <w:sz w:val="24"/>
          <w:szCs w:val="24"/>
        </w:rPr>
        <w:t xml:space="preserve"> at </w:t>
      </w:r>
      <w:r w:rsidRPr="004B1A6B">
        <w:rPr>
          <w:rFonts w:ascii="Arial" w:cs="Arial" w:hAnsi="Arial"/>
          <w:sz w:val="24"/>
          <w:szCs w:val="24"/>
          <w:highlight w:val="yellow"/>
        </w:rPr>
        <w:t>707-332-0670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Madrone Mutual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707-332-0670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Madrone Mutual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707-332-0670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Madrone Mutual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707-332-0670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Madrone Mutual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707-332-0670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Madrone Mutual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707-332-0670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