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Summerfield Waldorf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Lisa Hensley</w:t>
      </w:r>
      <w:r>
        <w:rPr>
          <w:rFonts w:ascii="Arial" w:cs="Arial" w:hAnsi="Arial"/>
          <w:sz w:val="24"/>
          <w:szCs w:val="24"/>
        </w:rPr>
        <w:t xml:space="preserve"> at </w:t>
      </w:r>
      <w:r w:rsidRPr="004B1A6B">
        <w:rPr>
          <w:rFonts w:ascii="Arial" w:cs="Arial" w:hAnsi="Arial"/>
          <w:sz w:val="24"/>
          <w:szCs w:val="24"/>
          <w:highlight w:val="yellow"/>
        </w:rPr>
        <w:t>707-575-7194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Summerfield Waldorf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707-575-7194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Summerfield Waldorf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707-575-7194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Summerfield Waldorf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707-575-7194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Summerfield Waldorf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707-575-7194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Summerfield Waldorf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707-575-7194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