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Royaneh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Scott Griswold</w:t>
      </w:r>
      <w:r>
        <w:rPr>
          <w:rFonts w:ascii="Arial" w:cs="Arial" w:hAnsi="Arial"/>
          <w:sz w:val="24"/>
          <w:szCs w:val="24"/>
        </w:rPr>
        <w:t xml:space="preserve"> at </w:t>
      </w:r>
      <w:r w:rsidRPr="004B1A6B">
        <w:rPr>
          <w:rFonts w:ascii="Arial" w:cs="Arial" w:hAnsi="Arial"/>
          <w:sz w:val="24"/>
          <w:szCs w:val="24"/>
          <w:highlight w:val="yellow"/>
        </w:rPr>
        <w:t>707-632-5291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Royaneh</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707-632-5291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Royaneh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707-632-5291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Royaneh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707-632-5291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Royaneh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707-632-5291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Royaneh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707-632-5291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