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Cazadero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(to Bearpen Creek)-surf Inflnc, Spring 02 (to Cascade Creek)-surf Inflnc, Blended Raw Spring - Surface Influence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Diane Weible</w:t>
      </w:r>
      <w:r>
        <w:rPr>
          <w:rFonts w:ascii="Arial" w:cs="Arial" w:hAnsi="Arial"/>
          <w:sz w:val="24"/>
          <w:szCs w:val="24"/>
        </w:rPr>
        <w:t xml:space="preserve"> at </w:t>
      </w:r>
      <w:r w:rsidRPr="004B1A6B">
        <w:rPr>
          <w:rFonts w:ascii="Arial" w:cs="Arial" w:hAnsi="Arial"/>
          <w:sz w:val="24"/>
          <w:szCs w:val="24"/>
          <w:highlight w:val="yellow"/>
        </w:rPr>
        <w:t>510-247-8990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Cazadero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510-247-8990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Cazadero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510-247-8990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Cazadero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510-247-8990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Cazadero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510-247-8990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Cazadero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510-247-8990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