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Fritz Winery And Vineyard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Fritz 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Clayton Fritz</w:t>
      </w:r>
      <w:r>
        <w:rPr>
          <w:rFonts w:ascii="Arial" w:cs="Arial" w:hAnsi="Arial"/>
          <w:sz w:val="24"/>
          <w:szCs w:val="24"/>
        </w:rPr>
        <w:t xml:space="preserve"> at </w:t>
      </w:r>
      <w:r w:rsidRPr="004B1A6B">
        <w:rPr>
          <w:rFonts w:ascii="Arial" w:cs="Arial" w:hAnsi="Arial"/>
          <w:sz w:val="24"/>
          <w:szCs w:val="24"/>
          <w:highlight w:val="yellow"/>
        </w:rPr>
        <w:t>707-894-1502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Fritz Winery And Vineyard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707-894-1502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Fritz Winery And Vineyard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707-894-1502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Fritz Winery And Vineyard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707-894-1502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Fritz Winery And Vineyard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707-894-1502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Fritz Winery And Vineyard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707-894-1502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