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Sonoma State Recycled Ongoing Compliance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Craig Dawson</w:t>
      </w:r>
      <w:r>
        <w:rPr>
          <w:rFonts w:ascii="Arial" w:cs="Arial" w:hAnsi="Arial"/>
          <w:sz w:val="24"/>
          <w:szCs w:val="24"/>
        </w:rPr>
        <w:t xml:space="preserve"> at </w:t>
      </w:r>
      <w:r w:rsidRPr="004B1A6B">
        <w:rPr>
          <w:rFonts w:ascii="Arial" w:cs="Arial" w:hAnsi="Arial"/>
          <w:sz w:val="24"/>
          <w:szCs w:val="24"/>
          <w:highlight w:val="yellow"/>
        </w:rPr>
        <w:t>707-664-2932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Sonoma State Recycled Ongoing Compliance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707-664-2932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Sonoma State Recycled Ongoing Compliance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707-664-2932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Sonoma State Recycled Ongoing Compliance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707-664-2932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Sonoma State Recycled Ongoing Compliance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707-664-2932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Sonoma State Recycled Ongoing Compliance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707-664-2932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