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Flux River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Lee Gilroy</w:t>
      </w:r>
      <w:r>
        <w:rPr>
          <w:rFonts w:ascii="Arial" w:cs="Arial" w:hAnsi="Arial"/>
          <w:sz w:val="24"/>
          <w:szCs w:val="24"/>
        </w:rPr>
        <w:t xml:space="preserve"> at </w:t>
      </w:r>
      <w:r w:rsidRPr="004B1A6B">
        <w:rPr>
          <w:rFonts w:ascii="Arial" w:cs="Arial" w:hAnsi="Arial"/>
          <w:sz w:val="24"/>
          <w:szCs w:val="24"/>
          <w:highlight w:val="yellow"/>
        </w:rPr>
        <w:t>909-801-0002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Flux River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909-801-0002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Flux River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909-801-0002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Flux River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909-801-0002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Flux River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909-801-0002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Flux River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909-801-0002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