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Polymerpak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Doug Bakker</w:t>
      </w:r>
      <w:r>
        <w:rPr>
          <w:rFonts w:ascii="Arial" w:cs="Arial" w:hAnsi="Arial"/>
          <w:sz w:val="24"/>
          <w:szCs w:val="24"/>
        </w:rPr>
        <w:t xml:space="preserve"> at </w:t>
      </w:r>
      <w:r w:rsidRPr="004B1A6B">
        <w:rPr>
          <w:rFonts w:ascii="Arial" w:cs="Arial" w:hAnsi="Arial"/>
          <w:sz w:val="24"/>
          <w:szCs w:val="24"/>
          <w:highlight w:val="yellow"/>
        </w:rPr>
        <w:t>559-651-1965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Polymerpak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559-651-1965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Polymerpak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559-651-1965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Polymerpak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559-651-1965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Polymerpak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559-651-1965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Polymerpak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559-651-1965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