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Tawonga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1997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Vasquez</w:t>
      </w:r>
      <w:r>
        <w:rPr>
          <w:rFonts w:ascii="Arial" w:cs="Arial" w:hAnsi="Arial"/>
          <w:sz w:val="24"/>
          <w:szCs w:val="24"/>
        </w:rPr>
        <w:t xml:space="preserve"> at </w:t>
      </w:r>
      <w:r w:rsidRPr="004B1A6B">
        <w:rPr>
          <w:rFonts w:ascii="Arial" w:cs="Arial" w:hAnsi="Arial"/>
          <w:sz w:val="24"/>
          <w:szCs w:val="24"/>
          <w:highlight w:val="yellow"/>
        </w:rPr>
        <w:t>415-543-2267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Tawonga</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415-543-2267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Tawonga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415-543-2267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Tawonga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415-543-2267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Tawonga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415-543-2267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Tawonga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415-543-2267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