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All Pure Chemical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All Pure Chemical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All Pure Chemical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All Pure Chemical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All Pure Chemical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All Pure Chemical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